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дефектологии в социальной и профессиональной сферах</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80.53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«Основы дефектологии в социальной и профессиональной сферах».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средней общеобразовательной школы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52"/>
        </w:trPr>
        <w:tc>
          <w:tcPr>
            <w:tcW w:w="3970" w:type="dxa"/>
          </w:tcPr>
          <w:p/>
        </w:tc>
        <w:tc>
          <w:tcPr>
            <w:tcW w:w="4679" w:type="dxa"/>
          </w:tcPr>
          <w:p/>
        </w:tc>
        <w:tc>
          <w:tcPr>
            <w:tcW w:w="993" w:type="dxa"/>
          </w:tcPr>
          <w:p/>
        </w:tc>
      </w:tr>
      <w:tr>
        <w:trPr>
          <w:trHeight w:hRule="exact" w:val="1055.01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взаимодействия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Распространенность инвалидности в России . Проблема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нарушений развития.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Философия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Сравнительный обзор существующих форм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Доступная среда для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Доступная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аспекты создания доступной среды для инвалидов и людей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и организационная основы системы обеспечения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доступности для инвалидов на предприятиях, организациях и в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Адаптация социальной инфраструктуры длля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88.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Распространенность инвалидности в России . Проблема терминологии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инвалидности  в  России. Статистика.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нарушений развития. Виды и формы нарушенного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Эволюция отношения государства и общества к лицам с отклонениями в развитии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государства и общества к лицам с отклонениями в развитии.Медицинская и социальная модели инвалидности.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Сравнительный обзор существующих форм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профессиональной коммуникации с лицами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и формы нарушенного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отношения государства и общества к лицам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1.Эволюция  отношения  государства  и  общества  к  лицам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2.Медицинская и социальная модели инвалидности.</w:t>
            </w:r>
          </w:p>
          <w:p>
            <w:pPr>
              <w:jc w:val="both"/>
              <w:spacing w:after="0" w:line="240" w:lineRule="auto"/>
              <w:rPr>
                <w:sz w:val="24"/>
                <w:szCs w:val="24"/>
              </w:rPr>
            </w:pPr>
            <w:r>
              <w:rPr>
                <w:rFonts w:ascii="Times New Roman" w:hAnsi="Times New Roman" w:cs="Times New Roman"/>
                <w:color w:val="#000000"/>
                <w:sz w:val="24"/>
                <w:szCs w:val="24"/>
              </w:rPr>
              <w:t> 3.Понятие «инклюзивное образование», цель, основные ценности и принципы.</w:t>
            </w:r>
          </w:p>
          <w:p>
            <w:pPr>
              <w:jc w:val="both"/>
              <w:spacing w:after="0" w:line="240" w:lineRule="auto"/>
              <w:rPr>
                <w:sz w:val="24"/>
                <w:szCs w:val="24"/>
              </w:rPr>
            </w:pPr>
            <w:r>
              <w:rPr>
                <w:rFonts w:ascii="Times New Roman" w:hAnsi="Times New Roman" w:cs="Times New Roman"/>
                <w:color w:val="#000000"/>
                <w:sz w:val="24"/>
                <w:szCs w:val="24"/>
              </w:rPr>
              <w:t> 4.Ситуация с инклюзивным образованием за рубежом.</w:t>
            </w:r>
          </w:p>
          <w:p>
            <w:pPr>
              <w:jc w:val="both"/>
              <w:spacing w:after="0" w:line="240" w:lineRule="auto"/>
              <w:rPr>
                <w:sz w:val="24"/>
                <w:szCs w:val="24"/>
              </w:rPr>
            </w:pPr>
            <w:r>
              <w:rPr>
                <w:rFonts w:ascii="Times New Roman" w:hAnsi="Times New Roman" w:cs="Times New Roman"/>
                <w:color w:val="#000000"/>
                <w:sz w:val="24"/>
                <w:szCs w:val="24"/>
              </w:rPr>
              <w:t> 5.Ситуация с инклюзивным образованием в России.</w:t>
            </w:r>
          </w:p>
          <w:p>
            <w:pPr>
              <w:jc w:val="both"/>
              <w:spacing w:after="0" w:line="240" w:lineRule="auto"/>
              <w:rPr>
                <w:sz w:val="24"/>
                <w:szCs w:val="24"/>
              </w:rPr>
            </w:pPr>
            <w:r>
              <w:rPr>
                <w:rFonts w:ascii="Times New Roman" w:hAnsi="Times New Roman" w:cs="Times New Roman"/>
                <w:color w:val="#000000"/>
                <w:sz w:val="24"/>
                <w:szCs w:val="24"/>
              </w:rPr>
              <w:t> 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Доступная среда для лиц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Доступность образовательных организаций. 2. Доступность учреждений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3. Доступность медицинских услуг.</w:t>
            </w:r>
          </w:p>
          <w:p>
            <w:pPr>
              <w:jc w:val="both"/>
              <w:spacing w:after="0" w:line="240" w:lineRule="auto"/>
              <w:rPr>
                <w:sz w:val="24"/>
                <w:szCs w:val="24"/>
              </w:rPr>
            </w:pPr>
            <w:r>
              <w:rPr>
                <w:rFonts w:ascii="Times New Roman" w:hAnsi="Times New Roman" w:cs="Times New Roman"/>
                <w:color w:val="#000000"/>
                <w:sz w:val="24"/>
                <w:szCs w:val="24"/>
              </w:rPr>
              <w:t> 4. Доступность учреждений культуры.</w:t>
            </w:r>
          </w:p>
          <w:p>
            <w:pPr>
              <w:jc w:val="both"/>
              <w:spacing w:after="0" w:line="240" w:lineRule="auto"/>
              <w:rPr>
                <w:sz w:val="24"/>
                <w:szCs w:val="24"/>
              </w:rPr>
            </w:pPr>
            <w:r>
              <w:rPr>
                <w:rFonts w:ascii="Times New Roman" w:hAnsi="Times New Roman" w:cs="Times New Roman"/>
                <w:color w:val="#000000"/>
                <w:sz w:val="24"/>
                <w:szCs w:val="24"/>
              </w:rPr>
              <w:t>  5. Трудоустройство людей с инвалидностью.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информационная среда?</w:t>
            </w:r>
          </w:p>
          <w:p>
            <w:pPr>
              <w:jc w:val="both"/>
              <w:spacing w:after="0" w:line="240" w:lineRule="auto"/>
              <w:rPr>
                <w:sz w:val="24"/>
                <w:szCs w:val="24"/>
              </w:rPr>
            </w:pPr>
            <w:r>
              <w:rPr>
                <w:rFonts w:ascii="Times New Roman" w:hAnsi="Times New Roman" w:cs="Times New Roman"/>
                <w:color w:val="#000000"/>
                <w:sz w:val="24"/>
                <w:szCs w:val="24"/>
              </w:rPr>
              <w:t> 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профессиональной коммуникации с лицами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коммуникации при нарушениях зрения.</w:t>
            </w:r>
          </w:p>
          <w:p>
            <w:pPr>
              <w:jc w:val="both"/>
              <w:spacing w:after="0" w:line="240" w:lineRule="auto"/>
              <w:rPr>
                <w:sz w:val="24"/>
                <w:szCs w:val="24"/>
              </w:rPr>
            </w:pPr>
            <w:r>
              <w:rPr>
                <w:rFonts w:ascii="Times New Roman" w:hAnsi="Times New Roman" w:cs="Times New Roman"/>
                <w:color w:val="#000000"/>
                <w:sz w:val="24"/>
                <w:szCs w:val="24"/>
              </w:rPr>
              <w:t> 2. Особенности коммуникации при нарушениях слуха.</w:t>
            </w:r>
          </w:p>
          <w:p>
            <w:pPr>
              <w:jc w:val="both"/>
              <w:spacing w:after="0" w:line="240" w:lineRule="auto"/>
              <w:rPr>
                <w:sz w:val="24"/>
                <w:szCs w:val="24"/>
              </w:rPr>
            </w:pPr>
            <w:r>
              <w:rPr>
                <w:rFonts w:ascii="Times New Roman" w:hAnsi="Times New Roman" w:cs="Times New Roman"/>
                <w:color w:val="#000000"/>
                <w:sz w:val="24"/>
                <w:szCs w:val="24"/>
              </w:rPr>
              <w:t> 3. Особенности коммуникации при слепоглухоте.</w:t>
            </w:r>
          </w:p>
          <w:p>
            <w:pPr>
              <w:jc w:val="both"/>
              <w:spacing w:after="0" w:line="240" w:lineRule="auto"/>
              <w:rPr>
                <w:sz w:val="24"/>
                <w:szCs w:val="24"/>
              </w:rPr>
            </w:pPr>
            <w:r>
              <w:rPr>
                <w:rFonts w:ascii="Times New Roman" w:hAnsi="Times New Roman" w:cs="Times New Roman"/>
                <w:color w:val="#000000"/>
                <w:sz w:val="24"/>
                <w:szCs w:val="24"/>
              </w:rPr>
              <w:t> 4. Особенности коммуникации при нарушениях звукопроизносительной стороны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аспекты создания доступной среды для инвалидов и людей с ОВЗ</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и организационная основы системы обеспечения доступности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доступности для инвалидов на предприятиях, организациях и в учреждениях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Адаптация социальной инфраструктуры длля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дефектологии в социальной и профессиональной сферах» / Котлярова Т.С.. – Омск: Изд- 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инклюзия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https://urait.ru/bcode/474628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https://urait.ru/bcode/473222</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Инклюзивные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https://urait.ru/bcode/447666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099.6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04.2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2022-2023_ФГОС3++2022_Бак-ОЗФО-Мен_(Мзд)(22)_plx_Основы дефектологии в социальной и профессиональной сферах</dc:title>
  <dc:creator>FastReport.NET</dc:creator>
</cp:coreProperties>
</file>